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DA08F" w14:textId="371BBACA" w:rsidR="00931315" w:rsidRPr="00931315" w:rsidRDefault="00931315" w:rsidP="00931315">
      <w:pPr>
        <w:pStyle w:val="Header"/>
        <w:tabs>
          <w:tab w:val="right" w:pos="9639"/>
        </w:tabs>
        <w:rPr>
          <w:rFonts w:eastAsia="MS Mincho"/>
          <w:sz w:val="24"/>
          <w:lang w:eastAsia="en-US"/>
        </w:rPr>
      </w:pPr>
      <w:r w:rsidRPr="00931315">
        <w:rPr>
          <w:rFonts w:eastAsia="MS Mincho"/>
          <w:sz w:val="24"/>
          <w:lang w:eastAsia="en-US"/>
        </w:rPr>
        <w:t>3GPP TSG RAN WG2#123</w:t>
      </w:r>
      <w:r w:rsidRPr="00931315">
        <w:rPr>
          <w:rFonts w:eastAsia="MS Mincho"/>
          <w:sz w:val="24"/>
          <w:lang w:eastAsia="en-US"/>
        </w:rPr>
        <w:tab/>
      </w:r>
      <w:r w:rsidR="00763A92" w:rsidRPr="00763A92">
        <w:rPr>
          <w:rFonts w:eastAsia="MS Mincho"/>
          <w:sz w:val="24"/>
          <w:lang w:eastAsia="en-US"/>
        </w:rPr>
        <w:t>R2-2307517</w:t>
      </w:r>
    </w:p>
    <w:p w14:paraId="72A62E9E" w14:textId="27854D0A" w:rsidR="00A37F74" w:rsidRPr="00465587" w:rsidRDefault="00931315" w:rsidP="00931315">
      <w:pPr>
        <w:pStyle w:val="Header"/>
        <w:tabs>
          <w:tab w:val="right" w:pos="9639"/>
        </w:tabs>
        <w:rPr>
          <w:rFonts w:eastAsia="SimSun"/>
          <w:bCs/>
          <w:sz w:val="24"/>
          <w:szCs w:val="24"/>
          <w:lang w:eastAsia="zh-CN"/>
        </w:rPr>
      </w:pPr>
      <w:r w:rsidRPr="00931315">
        <w:rPr>
          <w:rFonts w:eastAsia="MS Mincho"/>
          <w:sz w:val="24"/>
          <w:lang w:eastAsia="en-US"/>
        </w:rPr>
        <w:t>Toulouse, France, 21st - 25th August, 2023</w:t>
      </w:r>
      <w:r w:rsidR="00A37F74">
        <w:rPr>
          <w:rFonts w:eastAsia="SimSun"/>
          <w:noProof w:val="0"/>
          <w:sz w:val="24"/>
          <w:szCs w:val="24"/>
          <w:lang w:eastAsia="zh-CN"/>
        </w:rPr>
        <w:tab/>
      </w:r>
    </w:p>
    <w:p w14:paraId="11776FA6" w14:textId="053F663C" w:rsidR="00A209D6" w:rsidRPr="00465587" w:rsidRDefault="00A209D6" w:rsidP="00A209D6">
      <w:pPr>
        <w:pStyle w:val="Header"/>
        <w:tabs>
          <w:tab w:val="right" w:pos="9639"/>
        </w:tabs>
        <w:rPr>
          <w:rFonts w:eastAsia="SimSun"/>
          <w:bCs/>
          <w:sz w:val="24"/>
          <w:szCs w:val="24"/>
          <w:lang w:eastAsia="zh-CN"/>
        </w:rPr>
      </w:pPr>
      <w:r>
        <w:rPr>
          <w:rFonts w:eastAsia="SimSun"/>
          <w:noProof w:val="0"/>
          <w:sz w:val="24"/>
          <w:szCs w:val="24"/>
          <w:lang w:eastAsia="zh-CN"/>
        </w:rPr>
        <w:tab/>
      </w:r>
    </w:p>
    <w:p w14:paraId="403CB9C0" w14:textId="00F896F1" w:rsidR="00A209D6" w:rsidRDefault="00A209D6" w:rsidP="00A209D6">
      <w:pPr>
        <w:pStyle w:val="Header"/>
        <w:rPr>
          <w:bCs/>
          <w:noProof w:val="0"/>
          <w:sz w:val="24"/>
        </w:rPr>
      </w:pPr>
    </w:p>
    <w:p w14:paraId="5BC3523F" w14:textId="77777777" w:rsidR="0077317B" w:rsidRPr="00B266B0" w:rsidRDefault="0077317B" w:rsidP="00A209D6">
      <w:pPr>
        <w:pStyle w:val="Header"/>
        <w:rPr>
          <w:bCs/>
          <w:noProof w:val="0"/>
          <w:sz w:val="24"/>
        </w:rPr>
      </w:pPr>
    </w:p>
    <w:p w14:paraId="310B92C9" w14:textId="64A1678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A1A87">
        <w:rPr>
          <w:rFonts w:cs="Arial"/>
          <w:b/>
          <w:bCs/>
          <w:sz w:val="24"/>
        </w:rPr>
        <w:t>7</w:t>
      </w:r>
      <w:r w:rsidR="000515F0">
        <w:rPr>
          <w:rFonts w:cs="Arial"/>
          <w:b/>
          <w:bCs/>
          <w:sz w:val="24"/>
          <w:lang w:eastAsia="ja-JP"/>
        </w:rPr>
        <w:t>.19</w:t>
      </w:r>
      <w:r w:rsidR="001727D8">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C9222F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15F0">
        <w:rPr>
          <w:rFonts w:ascii="Arial" w:hAnsi="Arial" w:cs="Arial"/>
          <w:b/>
          <w:bCs/>
          <w:sz w:val="24"/>
        </w:rPr>
        <w:t xml:space="preserve">On </w:t>
      </w:r>
      <w:r w:rsidR="00B321EF">
        <w:rPr>
          <w:rFonts w:ascii="Arial" w:hAnsi="Arial" w:cs="Arial"/>
          <w:b/>
          <w:bCs/>
          <w:sz w:val="24"/>
        </w:rPr>
        <w:t>access restrictions</w:t>
      </w:r>
      <w:r w:rsidR="000515F0">
        <w:rPr>
          <w:rFonts w:ascii="Arial" w:hAnsi="Arial" w:cs="Arial"/>
          <w:b/>
          <w:bCs/>
          <w:sz w:val="24"/>
        </w:rPr>
        <w:t xml:space="preserve"> for enhanced RedCap</w:t>
      </w:r>
    </w:p>
    <w:p w14:paraId="25F387E8" w14:textId="18C8F23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515F0" w:rsidRPr="000515F0">
        <w:rPr>
          <w:rFonts w:ascii="Arial" w:hAnsi="Arial" w:cs="Arial"/>
          <w:b/>
          <w:bCs/>
          <w:sz w:val="24"/>
        </w:rPr>
        <w:t xml:space="preserve">NR_redcap_enh-Core </w:t>
      </w:r>
      <w:r>
        <w:rPr>
          <w:rFonts w:ascii="Arial" w:hAnsi="Arial" w:cs="Arial"/>
          <w:b/>
          <w:bCs/>
          <w:sz w:val="24"/>
        </w:rPr>
        <w:t xml:space="preserve">- Release </w:t>
      </w:r>
      <w:r w:rsidR="000515F0">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875B531" w14:textId="6E6DFCA0" w:rsidR="00E02BF1" w:rsidRDefault="000515F0" w:rsidP="0046304C">
      <w:pPr>
        <w:rPr>
          <w:rFonts w:eastAsia="MS Mincho"/>
          <w:lang w:val="en-US" w:eastAsia="ja-JP"/>
        </w:rPr>
      </w:pPr>
      <w:r>
        <w:rPr>
          <w:lang w:val="en-US"/>
        </w:rPr>
        <w:t>T</w:t>
      </w:r>
      <w:r w:rsidRPr="00484243">
        <w:rPr>
          <w:lang w:val="en-US"/>
        </w:rPr>
        <w:t>he work item on enhanced support of reduced capability NR devices</w:t>
      </w:r>
      <w:r>
        <w:rPr>
          <w:lang w:val="en-US"/>
        </w:rPr>
        <w:t xml:space="preserve"> was approved in </w:t>
      </w:r>
      <w:hyperlink r:id="rId12" w:history="1">
        <w:r w:rsidRPr="000515F0">
          <w:rPr>
            <w:rStyle w:val="Hyperlink"/>
            <w:rFonts w:eastAsia="MS Mincho"/>
            <w:lang w:val="en-US" w:eastAsia="ja-JP"/>
          </w:rPr>
          <w:t>RP-223544</w:t>
        </w:r>
      </w:hyperlink>
      <w:r>
        <w:rPr>
          <w:rFonts w:eastAsia="MS Mincho"/>
          <w:lang w:val="en-US" w:eastAsia="ja-JP"/>
        </w:rPr>
        <w:t xml:space="preserve">. </w:t>
      </w:r>
    </w:p>
    <w:p w14:paraId="0C8170FA" w14:textId="5CD7DB32" w:rsidR="0046304C" w:rsidRDefault="0046304C" w:rsidP="0046304C">
      <w:pPr>
        <w:rPr>
          <w:rFonts w:eastAsia="MS Mincho"/>
          <w:lang w:val="en-US" w:eastAsia="ja-JP"/>
        </w:rPr>
      </w:pPr>
    </w:p>
    <w:p w14:paraId="6000E5BA" w14:textId="314E9CEA" w:rsidR="0046304C" w:rsidRDefault="0046304C" w:rsidP="0046304C">
      <w:pPr>
        <w:rPr>
          <w:rFonts w:eastAsia="MS Mincho"/>
          <w:lang w:val="en-US" w:eastAsia="ja-JP"/>
        </w:rPr>
      </w:pPr>
      <w:r>
        <w:rPr>
          <w:rFonts w:eastAsia="MS Mincho"/>
          <w:lang w:val="en-US" w:eastAsia="ja-JP"/>
        </w:rPr>
        <w:t>The following was agreed in RAN2#121bis</w:t>
      </w:r>
      <w:r w:rsidR="00016CB2">
        <w:rPr>
          <w:rFonts w:eastAsia="MS Mincho"/>
          <w:lang w:val="en-US" w:eastAsia="ja-JP"/>
        </w:rPr>
        <w:t xml:space="preserve"> for f</w:t>
      </w:r>
      <w:r w:rsidR="00016CB2" w:rsidRPr="00016CB2">
        <w:rPr>
          <w:rFonts w:eastAsia="MS Mincho"/>
          <w:lang w:val="en-US" w:eastAsia="ja-JP"/>
        </w:rPr>
        <w:t>urther reduced UE complexity in FR1</w:t>
      </w:r>
      <w:r>
        <w:rPr>
          <w:rFonts w:eastAsia="MS Mincho"/>
          <w:lang w:val="en-US" w:eastAsia="ja-JP"/>
        </w:rPr>
        <w:t>:</w:t>
      </w:r>
    </w:p>
    <w:p w14:paraId="5DC9140E" w14:textId="77777777" w:rsidR="00016CB2" w:rsidRDefault="00016CB2" w:rsidP="00016CB2">
      <w:pPr>
        <w:pStyle w:val="Agreement"/>
        <w:rPr>
          <w:lang w:eastAsia="ja-JP"/>
        </w:rPr>
      </w:pPr>
      <w:bookmarkStart w:id="0" w:name="_Hlk133145456"/>
      <w:r w:rsidRPr="00CB00E0">
        <w:rPr>
          <w:lang w:eastAsia="ja-JP"/>
        </w:rPr>
        <w:t xml:space="preserve">SIB1 should be able to indicate whether the cell </w:t>
      </w:r>
      <w:r>
        <w:rPr>
          <w:lang w:eastAsia="ja-JP"/>
        </w:rPr>
        <w:t>enables access for</w:t>
      </w:r>
      <w:r w:rsidRPr="00CB00E0">
        <w:rPr>
          <w:lang w:eastAsia="ja-JP"/>
        </w:rPr>
        <w:t xml:space="preserve"> eRedCap UE</w:t>
      </w:r>
      <w:r>
        <w:rPr>
          <w:lang w:eastAsia="ja-JP"/>
        </w:rPr>
        <w:t>s</w:t>
      </w:r>
      <w:r w:rsidRPr="00CB00E0">
        <w:rPr>
          <w:lang w:eastAsia="ja-JP"/>
        </w:rPr>
        <w:t xml:space="preserve"> or not (assuming that eRedCap UE is not allowed to access to the legacy cell nor the cell not supporting eRedCap). FFS on the relationship </w:t>
      </w:r>
      <w:r>
        <w:rPr>
          <w:lang w:eastAsia="ja-JP"/>
        </w:rPr>
        <w:t xml:space="preserve">and granularity </w:t>
      </w:r>
      <w:r w:rsidRPr="00CB00E0">
        <w:rPr>
          <w:lang w:eastAsia="ja-JP"/>
        </w:rPr>
        <w:t>with the access control/cell barring purpose indication.</w:t>
      </w:r>
    </w:p>
    <w:bookmarkEnd w:id="0"/>
    <w:p w14:paraId="300CBB23" w14:textId="77777777" w:rsidR="00016CB2" w:rsidRDefault="00016CB2" w:rsidP="00016CB2">
      <w:pPr>
        <w:pStyle w:val="Agreement"/>
        <w:rPr>
          <w:lang w:eastAsia="ja-JP"/>
        </w:rPr>
      </w:pPr>
      <w:r w:rsidRPr="00B34D6E">
        <w:rPr>
          <w:lang w:eastAsia="ja-JP"/>
        </w:rPr>
        <w:t>A Rel-18 eRedCap UE should be able to indicate its support via new UE capability signaling specific to Rel-18 eRedCap</w:t>
      </w:r>
      <w:r>
        <w:rPr>
          <w:lang w:eastAsia="ja-JP"/>
        </w:rPr>
        <w:t>.</w:t>
      </w:r>
    </w:p>
    <w:p w14:paraId="1C62133A" w14:textId="77777777" w:rsidR="00016CB2" w:rsidRDefault="00016CB2" w:rsidP="00016CB2">
      <w:pPr>
        <w:pStyle w:val="Agreement"/>
        <w:rPr>
          <w:lang w:eastAsia="ja-JP"/>
        </w:rPr>
      </w:pPr>
      <w:r>
        <w:rPr>
          <w:lang w:eastAsia="ja-JP"/>
        </w:rPr>
        <w:t>Introduce R18 eRedCap UE specific IFRI in SIB1.</w:t>
      </w:r>
    </w:p>
    <w:p w14:paraId="7988464C" w14:textId="77777777" w:rsidR="00016CB2" w:rsidRDefault="00016CB2" w:rsidP="00016CB2">
      <w:pPr>
        <w:pStyle w:val="Agreement"/>
        <w:rPr>
          <w:lang w:eastAsia="ja-JP"/>
        </w:rPr>
      </w:pPr>
      <w:r>
        <w:rPr>
          <w:lang w:eastAsia="ja-JP"/>
        </w:rPr>
        <w:t xml:space="preserve">The new R18 eRedCap UE specific IFRI functionality works as follows: </w:t>
      </w:r>
    </w:p>
    <w:p w14:paraId="7BFDD495" w14:textId="77777777" w:rsidR="00016CB2" w:rsidRDefault="00016CB2" w:rsidP="00016CB2">
      <w:pPr>
        <w:pStyle w:val="Agreement"/>
        <w:numPr>
          <w:ilvl w:val="0"/>
          <w:numId w:val="0"/>
        </w:numPr>
        <w:ind w:left="1619"/>
        <w:rPr>
          <w:lang w:eastAsia="ja-JP"/>
        </w:rPr>
      </w:pPr>
      <w:r>
        <w:rPr>
          <w:lang w:eastAsia="ja-JP"/>
        </w:rPr>
        <w:t xml:space="preserve">- Controls cell selection/reselection to intra-frequency cells for eRedCap UEs when this cell is considered barred by the eRedCap UE, as specified in TS 38.304 [20]. </w:t>
      </w:r>
    </w:p>
    <w:p w14:paraId="53D14573" w14:textId="77777777" w:rsidR="00016CB2" w:rsidRDefault="00016CB2" w:rsidP="00016CB2">
      <w:pPr>
        <w:pStyle w:val="Agreement"/>
        <w:numPr>
          <w:ilvl w:val="0"/>
          <w:numId w:val="0"/>
        </w:numPr>
        <w:ind w:left="1619"/>
        <w:rPr>
          <w:lang w:eastAsia="ja-JP"/>
        </w:rPr>
      </w:pPr>
      <w:r>
        <w:rPr>
          <w:lang w:eastAsia="ja-JP"/>
        </w:rPr>
        <w:t>- Working assumption (pending check in running CRs): If not present, an eRedCap UE treats the cell as barred, i.e., the UE considers that the cell does not support eRedCap.</w:t>
      </w:r>
    </w:p>
    <w:p w14:paraId="7EB0481C" w14:textId="77777777" w:rsidR="00016CB2" w:rsidRDefault="00016CB2" w:rsidP="00016CB2">
      <w:pPr>
        <w:pStyle w:val="Agreement"/>
        <w:rPr>
          <w:lang w:eastAsia="ja-JP"/>
        </w:rPr>
      </w:pPr>
      <w:r>
        <w:rPr>
          <w:lang w:eastAsia="ja-JP"/>
        </w:rPr>
        <w:t>Introduce eRedcapAccessAllowed-r18 in interFreqCarrierFreqList in SIB4, about the frequency of neighbour cell supporting eRedCap, similar to R17.</w:t>
      </w:r>
    </w:p>
    <w:p w14:paraId="4AC5B44E" w14:textId="73D3400F" w:rsidR="00016CB2" w:rsidRDefault="00016CB2" w:rsidP="00016CB2">
      <w:pPr>
        <w:pStyle w:val="Agreement"/>
        <w:rPr>
          <w:lang w:eastAsia="ja-JP"/>
        </w:rPr>
      </w:pPr>
      <w:r>
        <w:rPr>
          <w:lang w:eastAsia="ja-JP"/>
        </w:rPr>
        <w:t>From RAN2 perspective, there is no need to introduce eRedCap UE specific initial BWP configuration (i.e. no R18 new field and at most one specific initial UL/DL BWP can be configured).</w:t>
      </w:r>
    </w:p>
    <w:p w14:paraId="2276EE4C" w14:textId="77777777" w:rsidR="00016CB2" w:rsidRPr="00AA22D3" w:rsidRDefault="00016CB2" w:rsidP="00016CB2">
      <w:pPr>
        <w:pStyle w:val="Agreement"/>
        <w:rPr>
          <w:lang w:eastAsia="ja-JP"/>
        </w:rPr>
      </w:pPr>
      <w:r>
        <w:rPr>
          <w:lang w:eastAsia="ja-JP"/>
        </w:rPr>
        <w:t>If the R17 RedCap specific initial BWP is configured, eRedCap UEs always use it as its specific initial BWP (assuming no eRedCap UE specific initial BWP configuration field introduced).</w:t>
      </w:r>
    </w:p>
    <w:p w14:paraId="1CA9B854" w14:textId="77777777" w:rsidR="00016CB2" w:rsidRDefault="00016CB2" w:rsidP="00016CB2">
      <w:pPr>
        <w:pStyle w:val="Agreement"/>
        <w:rPr>
          <w:lang w:eastAsia="ja-JP"/>
        </w:rPr>
      </w:pPr>
      <w:r>
        <w:rPr>
          <w:lang w:eastAsia="ja-JP"/>
        </w:rPr>
        <w:t>Working assumption: Use two new LCID values to support Msg3 early identification for eRedCap UE (can be revised and discussed together with other R18 WIs, if R18 WIs may occupy relatively many LCIDs).</w:t>
      </w:r>
    </w:p>
    <w:p w14:paraId="66DE6335" w14:textId="77777777" w:rsidR="0046304C" w:rsidRPr="00016CB2" w:rsidRDefault="0046304C" w:rsidP="0046304C">
      <w:pPr>
        <w:rPr>
          <w:bCs/>
        </w:rPr>
      </w:pPr>
    </w:p>
    <w:p w14:paraId="0A21AD94" w14:textId="1D50C210" w:rsidR="007D49B4" w:rsidRDefault="007D49B4" w:rsidP="007D49B4">
      <w:pPr>
        <w:rPr>
          <w:rFonts w:eastAsia="MS Mincho"/>
          <w:lang w:val="en-US" w:eastAsia="ja-JP"/>
        </w:rPr>
      </w:pPr>
      <w:r>
        <w:rPr>
          <w:rFonts w:eastAsia="MS Mincho"/>
          <w:lang w:val="en-US" w:eastAsia="ja-JP"/>
        </w:rPr>
        <w:t>The following was agreed in RAN2#122 for f</w:t>
      </w:r>
      <w:r w:rsidRPr="00016CB2">
        <w:rPr>
          <w:rFonts w:eastAsia="MS Mincho"/>
          <w:lang w:val="en-US" w:eastAsia="ja-JP"/>
        </w:rPr>
        <w:t>urther reduced UE complexity in FR1</w:t>
      </w:r>
      <w:r>
        <w:rPr>
          <w:rFonts w:eastAsia="MS Mincho"/>
          <w:lang w:val="en-US" w:eastAsia="ja-JP"/>
        </w:rPr>
        <w:t>:</w:t>
      </w:r>
    </w:p>
    <w:p w14:paraId="186B7A20" w14:textId="77777777" w:rsidR="007D49B4" w:rsidRPr="007D49B4" w:rsidRDefault="007D49B4" w:rsidP="007D49B4">
      <w:pPr>
        <w:pStyle w:val="Doc-text2"/>
        <w:ind w:left="0" w:firstLine="0"/>
        <w:rPr>
          <w:i/>
          <w:iCs/>
          <w:sz w:val="18"/>
          <w:szCs w:val="18"/>
          <w:lang w:val="en-US"/>
        </w:rPr>
      </w:pPr>
    </w:p>
    <w:p w14:paraId="6E38E434" w14:textId="77777777" w:rsidR="007D49B4" w:rsidRDefault="007D49B4" w:rsidP="007D49B4">
      <w:pPr>
        <w:pStyle w:val="Agreement"/>
      </w:pPr>
      <w:r w:rsidRPr="00F738C4">
        <w:t>RAN2 confirms there can be cell(s) supporting Rel-18 eRedCap only, i.e., not allowing Rel-17 RedCap UE to camp and access.</w:t>
      </w:r>
    </w:p>
    <w:p w14:paraId="4F4FF5B7" w14:textId="77777777" w:rsidR="007D49B4" w:rsidRDefault="007D49B4" w:rsidP="007D49B4">
      <w:pPr>
        <w:pStyle w:val="Agreement"/>
      </w:pPr>
      <w:r w:rsidRPr="00F738C4">
        <w:t>We introduce R18 versions of 1Rx and 2Rx barring bits and we don’t introduce a R18 version of the HD-FDD allowed-bit, i.e., the R17 HD-FDD allowed-bit is reused for and applied by R18 eRedCap UEs.</w:t>
      </w:r>
    </w:p>
    <w:p w14:paraId="1D05A304" w14:textId="77777777" w:rsidR="007D49B4" w:rsidRPr="00F738C4" w:rsidRDefault="007D49B4" w:rsidP="007D49B4">
      <w:pPr>
        <w:pStyle w:val="Agreement"/>
      </w:pPr>
      <w:r w:rsidRPr="00F738C4">
        <w:lastRenderedPageBreak/>
        <w:t>All R18 eRedCap UEs uses the two new LCIDs for Msg3/MsgA PUSCH for CCCH/CCCH1 during Random Access, i.e., both those with peak rate reduction + BB BW reduction, and those with only peak rate reduction.</w:t>
      </w:r>
    </w:p>
    <w:p w14:paraId="4EBCCE9E" w14:textId="77777777" w:rsidR="007D49B4" w:rsidRDefault="007D49B4" w:rsidP="009339CB">
      <w:pPr>
        <w:rPr>
          <w:lang w:val="en-US"/>
        </w:rPr>
      </w:pPr>
    </w:p>
    <w:p w14:paraId="6C4E6517" w14:textId="6F19E03F" w:rsidR="00E02BF1" w:rsidRDefault="00E02BF1" w:rsidP="009339CB">
      <w:pPr>
        <w:rPr>
          <w:lang w:val="en-US"/>
        </w:rPr>
      </w:pPr>
      <w:r>
        <w:rPr>
          <w:lang w:val="en-US"/>
        </w:rPr>
        <w:t xml:space="preserve">This TDoc discusses the need for </w:t>
      </w:r>
      <w:r w:rsidR="00051F26">
        <w:rPr>
          <w:lang w:val="en-US"/>
        </w:rPr>
        <w:t xml:space="preserve">access restrictions </w:t>
      </w:r>
      <w:r>
        <w:rPr>
          <w:lang w:val="en-US"/>
        </w:rPr>
        <w:t>specified for Rel-17 RedCap devices.</w:t>
      </w:r>
    </w:p>
    <w:p w14:paraId="32929922" w14:textId="77777777" w:rsidR="0077317B" w:rsidRPr="00E02BF1" w:rsidRDefault="0077317B" w:rsidP="009339CB">
      <w:pPr>
        <w:rPr>
          <w:lang w:val="en-US"/>
        </w:rPr>
      </w:pPr>
    </w:p>
    <w:p w14:paraId="7D484B6E" w14:textId="5B2AC4DD" w:rsidR="009339CB" w:rsidRPr="006E13D1" w:rsidRDefault="009339CB" w:rsidP="009339CB">
      <w:pPr>
        <w:pStyle w:val="Heading1"/>
      </w:pPr>
      <w:r w:rsidRPr="006E13D1">
        <w:t>2</w:t>
      </w:r>
      <w:r w:rsidRPr="006E13D1">
        <w:tab/>
      </w:r>
      <w:r w:rsidR="00E02BF1">
        <w:t>Discussion</w:t>
      </w:r>
    </w:p>
    <w:p w14:paraId="6F955D5A" w14:textId="2D9EA053" w:rsidR="00B82F65" w:rsidRDefault="00B82F65" w:rsidP="00585DBE">
      <w:pPr>
        <w:jc w:val="both"/>
      </w:pPr>
      <w:r>
        <w:t>In RAN #99, the following proposal was endorsed (RP-230778)</w:t>
      </w:r>
      <w:r w:rsidR="00585DBE">
        <w:t>:</w:t>
      </w:r>
    </w:p>
    <w:tbl>
      <w:tblPr>
        <w:tblStyle w:val="TableGrid"/>
        <w:tblW w:w="0" w:type="auto"/>
        <w:tblInd w:w="284" w:type="dxa"/>
        <w:tblLook w:val="04A0" w:firstRow="1" w:lastRow="0" w:firstColumn="1" w:lastColumn="0" w:noHBand="0" w:noVBand="1"/>
      </w:tblPr>
      <w:tblGrid>
        <w:gridCol w:w="9271"/>
      </w:tblGrid>
      <w:tr w:rsidR="00B82F65" w14:paraId="04D00CD2" w14:textId="77777777" w:rsidTr="00585DBE">
        <w:tc>
          <w:tcPr>
            <w:tcW w:w="9271" w:type="dxa"/>
          </w:tcPr>
          <w:p w14:paraId="502B4B84" w14:textId="77777777" w:rsidR="00B82F65" w:rsidRDefault="00B82F65" w:rsidP="00A929BB">
            <w:pPr>
              <w:rPr>
                <w:rFonts w:asciiTheme="minorHAnsi" w:hAnsiTheme="minorHAnsi"/>
                <w:b/>
                <w:bCs/>
                <w:szCs w:val="24"/>
              </w:rPr>
            </w:pPr>
            <w:r w:rsidRPr="00585DBE">
              <w:rPr>
                <w:rFonts w:hint="eastAsia"/>
                <w:b/>
                <w:bCs/>
                <w:szCs w:val="24"/>
              </w:rPr>
              <w:t xml:space="preserve">Rel-18 eRedCap UE capable of </w:t>
            </w:r>
            <w:bookmarkStart w:id="1" w:name="_Hlk131175250"/>
            <w:r w:rsidRPr="00585DBE">
              <w:rPr>
                <w:rFonts w:hint="eastAsia"/>
                <w:b/>
                <w:bCs/>
                <w:szCs w:val="24"/>
              </w:rPr>
              <w:t xml:space="preserve">20MHz + PR1 </w:t>
            </w:r>
            <w:bookmarkEnd w:id="1"/>
            <w:r w:rsidRPr="00585DBE">
              <w:rPr>
                <w:rFonts w:hint="eastAsia"/>
                <w:b/>
                <w:bCs/>
                <w:szCs w:val="24"/>
              </w:rPr>
              <w:t>and Rel-18 eRedCap UE capable of BW3/PR3 + PR1 are designed/targeted to same peak data rate, i.e., 10Mbps</w:t>
            </w:r>
          </w:p>
          <w:p w14:paraId="27FCF0AE" w14:textId="77777777" w:rsidR="00B82F65" w:rsidRDefault="00B82F65" w:rsidP="00A929BB">
            <w:pPr>
              <w:rPr>
                <w:b/>
                <w:bCs/>
                <w:sz w:val="24"/>
                <w:szCs w:val="24"/>
                <w:highlight w:val="green"/>
              </w:rPr>
            </w:pPr>
          </w:p>
          <w:p w14:paraId="2DAA0201" w14:textId="77777777" w:rsidR="00B82F65" w:rsidRDefault="00B82F65" w:rsidP="00A929BB">
            <w:pPr>
              <w:ind w:left="772" w:hangingChars="386" w:hanging="772"/>
              <w:rPr>
                <w:szCs w:val="24"/>
              </w:rPr>
            </w:pPr>
            <w:r>
              <w:rPr>
                <w:szCs w:val="24"/>
              </w:rPr>
              <w:t>Note 1: Peak data rate of "Rel-18 eRedCap: UE capable of 20MHz + PR1" and "Rel-18 eRedCap: UE capable of BW3/PR3 + PR1" is same including unicast and broadcast respectively.</w:t>
            </w:r>
          </w:p>
          <w:p w14:paraId="6E1B9C14" w14:textId="77777777" w:rsidR="00B82F65" w:rsidRDefault="00B82F65" w:rsidP="00A929BB">
            <w:pPr>
              <w:ind w:left="772" w:hangingChars="386" w:hanging="772"/>
              <w:rPr>
                <w:szCs w:val="24"/>
              </w:rPr>
            </w:pPr>
            <w:r>
              <w:rPr>
                <w:szCs w:val="24"/>
              </w:rPr>
              <w:t>Note 2: PRB processing capability of "Rel-18 eRedCap: UE capable of 20MHz + PR1" is not limited to "25 PRBs for 15 kHz SCS and 12 PRBs for 30 kHz SCS" and it corresponds to PRB size corresponding to 20 MHz.</w:t>
            </w:r>
          </w:p>
          <w:p w14:paraId="343FA28D" w14:textId="77777777" w:rsidR="00B82F65" w:rsidRDefault="00B82F65" w:rsidP="00A929BB">
            <w:pPr>
              <w:ind w:left="772" w:hangingChars="386" w:hanging="772"/>
              <w:rPr>
                <w:szCs w:val="24"/>
              </w:rPr>
            </w:pPr>
            <w:r>
              <w:rPr>
                <w:szCs w:val="24"/>
              </w:rPr>
              <w:t>Note 3: The only difference between "Rel-18 eRedCap: UE capable of 20MHz + PR1" and "Rel-18 eRedCap: UE capable of BW3/PR3 + PR1" is Note 2 and </w:t>
            </w:r>
            <w:r>
              <w:rPr>
                <w:rFonts w:eastAsia="Microsoft YaHei UI"/>
                <w:b/>
                <w:bCs/>
                <w:i/>
                <w:iCs/>
                <w:color w:val="000000"/>
              </w:rPr>
              <w:t>v</w:t>
            </w:r>
            <w:r>
              <w:rPr>
                <w:rFonts w:eastAsia="Microsoft YaHei UI"/>
                <w:b/>
                <w:bCs/>
                <w:i/>
                <w:iCs/>
                <w:color w:val="000000"/>
                <w:vertAlign w:val="subscript"/>
              </w:rPr>
              <w:t>Layers</w:t>
            </w:r>
            <w:r>
              <w:rPr>
                <w:rFonts w:eastAsia="Microsoft YaHei UI"/>
                <w:b/>
                <w:bCs/>
                <w:color w:val="000000"/>
              </w:rPr>
              <w:t>·</w:t>
            </w:r>
            <w:r>
              <w:rPr>
                <w:rFonts w:eastAsia="Microsoft YaHei UI"/>
                <w:b/>
                <w:bCs/>
                <w:i/>
                <w:iCs/>
                <w:color w:val="000000"/>
              </w:rPr>
              <w:t>Q</w:t>
            </w:r>
            <w:r>
              <w:rPr>
                <w:rFonts w:eastAsia="Microsoft YaHei UI"/>
                <w:b/>
                <w:bCs/>
                <w:i/>
                <w:iCs/>
                <w:color w:val="000000"/>
                <w:vertAlign w:val="subscript"/>
              </w:rPr>
              <w:t>m</w:t>
            </w:r>
            <w:r>
              <w:rPr>
                <w:rFonts w:eastAsia="Microsoft YaHei UI"/>
                <w:b/>
                <w:bCs/>
                <w:color w:val="000000"/>
              </w:rPr>
              <w:t>·</w:t>
            </w:r>
            <w:r>
              <w:rPr>
                <w:rFonts w:eastAsia="Microsoft YaHei UI"/>
                <w:b/>
                <w:bCs/>
                <w:i/>
                <w:iCs/>
                <w:color w:val="000000"/>
              </w:rPr>
              <w:t>f</w:t>
            </w:r>
            <w:r>
              <w:rPr>
                <w:rFonts w:eastAsia="Microsoft YaHei UI"/>
                <w:b/>
                <w:bCs/>
                <w:color w:val="000000"/>
              </w:rPr>
              <w:t> </w:t>
            </w:r>
            <w:r>
              <w:rPr>
                <w:szCs w:val="24"/>
              </w:rPr>
              <w:t>  in order to have the same peak rate.</w:t>
            </w:r>
          </w:p>
          <w:p w14:paraId="084BDBA9" w14:textId="77777777" w:rsidR="00B82F65" w:rsidRDefault="00B82F65" w:rsidP="00A929BB">
            <w:pPr>
              <w:rPr>
                <w:szCs w:val="24"/>
              </w:rPr>
            </w:pPr>
            <w:r>
              <w:rPr>
                <w:szCs w:val="24"/>
              </w:rPr>
              <w:t>Note 4: The initial access procedure of Rel-18 eRedCap UE capable of 20MHz + PR1 is realized by following:</w:t>
            </w:r>
          </w:p>
          <w:p w14:paraId="61368D1A" w14:textId="77777777" w:rsidR="00B82F65" w:rsidRPr="00711DE6" w:rsidRDefault="00B82F65" w:rsidP="00B82F65">
            <w:pPr>
              <w:pStyle w:val="ListParagraph"/>
              <w:numPr>
                <w:ilvl w:val="0"/>
                <w:numId w:val="12"/>
              </w:numPr>
              <w:overflowPunct/>
              <w:autoSpaceDE/>
              <w:autoSpaceDN/>
              <w:adjustRightInd/>
              <w:spacing w:after="160" w:line="256" w:lineRule="auto"/>
              <w:textAlignment w:val="auto"/>
              <w:rPr>
                <w:szCs w:val="24"/>
              </w:rPr>
            </w:pPr>
            <w:r>
              <w:rPr>
                <w:szCs w:val="24"/>
              </w:rPr>
              <w:t xml:space="preserve">Same as Rel-18 eRedCap UE capable of </w:t>
            </w:r>
            <w:bookmarkStart w:id="2" w:name="_Hlk131175574"/>
            <w:r>
              <w:rPr>
                <w:szCs w:val="24"/>
              </w:rPr>
              <w:t>BW3/PR3 + PR1</w:t>
            </w:r>
            <w:bookmarkEnd w:id="2"/>
          </w:p>
        </w:tc>
      </w:tr>
    </w:tbl>
    <w:p w14:paraId="3C8876C2" w14:textId="77777777" w:rsidR="00B82F65" w:rsidRDefault="00B82F65" w:rsidP="00585DBE">
      <w:pPr>
        <w:ind w:left="284"/>
        <w:jc w:val="both"/>
      </w:pPr>
    </w:p>
    <w:p w14:paraId="5A40B93B" w14:textId="000C9C29" w:rsidR="00B82F65" w:rsidRDefault="00B82F65" w:rsidP="00585DBE">
      <w:pPr>
        <w:jc w:val="both"/>
      </w:pPr>
      <w:r>
        <w:t>Thus, based on the endorsed proposal in RAN #99, it can be understood a Rel-18 enhanced RedCap (eRedCap) UE may have one of the following two capabilities:</w:t>
      </w:r>
    </w:p>
    <w:p w14:paraId="0768D733" w14:textId="486B042E" w:rsidR="00CE65CA" w:rsidRDefault="00B82F65" w:rsidP="00585DBE">
      <w:pPr>
        <w:pStyle w:val="ListParagraph"/>
        <w:numPr>
          <w:ilvl w:val="0"/>
          <w:numId w:val="13"/>
        </w:numPr>
        <w:overflowPunct/>
        <w:autoSpaceDE/>
        <w:autoSpaceDN/>
        <w:adjustRightInd/>
        <w:spacing w:after="0"/>
        <w:ind w:left="720"/>
        <w:jc w:val="both"/>
        <w:textAlignment w:val="auto"/>
      </w:pPr>
      <w:r w:rsidRPr="00711DE6">
        <w:t>20</w:t>
      </w:r>
      <w:r>
        <w:t xml:space="preserve"> </w:t>
      </w:r>
      <w:r w:rsidRPr="00711DE6">
        <w:t>MHz + PR1</w:t>
      </w:r>
      <w:r w:rsidR="00CE65CA">
        <w:t>:</w:t>
      </w:r>
    </w:p>
    <w:p w14:paraId="000EF497" w14:textId="616EE70D" w:rsidR="00B82F65" w:rsidRDefault="00B82F65" w:rsidP="00CE65CA">
      <w:pPr>
        <w:pStyle w:val="ListParagraph"/>
        <w:numPr>
          <w:ilvl w:val="0"/>
          <w:numId w:val="14"/>
        </w:numPr>
        <w:overflowPunct/>
        <w:autoSpaceDE/>
        <w:autoSpaceDN/>
        <w:adjustRightInd/>
        <w:spacing w:after="0"/>
        <w:jc w:val="both"/>
        <w:textAlignment w:val="auto"/>
      </w:pPr>
      <w:r>
        <w:t xml:space="preserve"> A Rel-18 eRedCap UE with this capability has an RF and baseband bandwidth of 20 MHz, which is the same as that of the Rel-17 RedCap UE, but it implements peak rate reduction to 10 Mbps through relaxation of the constraint </w:t>
      </w:r>
      <w:r w:rsidRPr="00FD2E09">
        <w:rPr>
          <w:rFonts w:cs="Arial"/>
        </w:rPr>
        <w:t>(</w:t>
      </w:r>
      <w:r w:rsidRPr="00FD2E09">
        <w:rPr>
          <w:rFonts w:cs="Arial"/>
          <w:i/>
          <w:iCs/>
        </w:rPr>
        <w:t>v</w:t>
      </w:r>
      <w:r w:rsidRPr="00FD2E09">
        <w:rPr>
          <w:rFonts w:cs="Arial"/>
          <w:i/>
          <w:iCs/>
          <w:vertAlign w:val="subscript"/>
        </w:rPr>
        <w:t>Layers</w:t>
      </w:r>
      <w:r w:rsidRPr="00FD2E09">
        <w:rPr>
          <w:rFonts w:cs="Arial"/>
        </w:rPr>
        <w:t>·</w:t>
      </w:r>
      <w:r w:rsidRPr="00FD2E09">
        <w:rPr>
          <w:rFonts w:cs="Arial"/>
          <w:i/>
          <w:iCs/>
        </w:rPr>
        <w:t>Q</w:t>
      </w:r>
      <w:r w:rsidRPr="00FD2E09">
        <w:rPr>
          <w:rFonts w:cs="Arial"/>
          <w:i/>
          <w:iCs/>
          <w:vertAlign w:val="subscript"/>
        </w:rPr>
        <w:t>m</w:t>
      </w:r>
      <w:r w:rsidRPr="00FD2E09">
        <w:rPr>
          <w:rFonts w:cs="Arial"/>
        </w:rPr>
        <w:t>·</w:t>
      </w:r>
      <w:r w:rsidRPr="00FD2E09">
        <w:rPr>
          <w:rFonts w:cs="Arial"/>
          <w:i/>
          <w:iCs/>
        </w:rPr>
        <w:t>f</w:t>
      </w:r>
      <w:r w:rsidRPr="00FD2E09">
        <w:rPr>
          <w:rFonts w:cs="Arial"/>
        </w:rPr>
        <w:t xml:space="preserve"> ≥ 4)</w:t>
      </w:r>
      <w:r>
        <w:t>.</w:t>
      </w:r>
    </w:p>
    <w:p w14:paraId="637A5003" w14:textId="77777777" w:rsidR="00CE65CA" w:rsidRDefault="00B82F65" w:rsidP="00585DBE">
      <w:pPr>
        <w:pStyle w:val="ListParagraph"/>
        <w:numPr>
          <w:ilvl w:val="0"/>
          <w:numId w:val="13"/>
        </w:numPr>
        <w:overflowPunct/>
        <w:autoSpaceDE/>
        <w:autoSpaceDN/>
        <w:adjustRightInd/>
        <w:spacing w:after="0"/>
        <w:ind w:left="720"/>
        <w:jc w:val="both"/>
        <w:textAlignment w:val="auto"/>
      </w:pPr>
      <w:r w:rsidRPr="00F73976">
        <w:t>BW3/PR3 + PR1</w:t>
      </w:r>
      <w:r w:rsidR="00CE65CA">
        <w:t>:</w:t>
      </w:r>
    </w:p>
    <w:p w14:paraId="58C9E466" w14:textId="1C75A831" w:rsidR="00B82F65" w:rsidRDefault="00B82F65" w:rsidP="00CE65CA">
      <w:pPr>
        <w:pStyle w:val="ListParagraph"/>
        <w:numPr>
          <w:ilvl w:val="0"/>
          <w:numId w:val="14"/>
        </w:numPr>
        <w:overflowPunct/>
        <w:autoSpaceDE/>
        <w:autoSpaceDN/>
        <w:adjustRightInd/>
        <w:spacing w:after="0"/>
        <w:jc w:val="both"/>
        <w:textAlignment w:val="auto"/>
      </w:pPr>
      <w:r>
        <w:t xml:space="preserve">A Rel-18 eRedCap UE with this capability has an RF bandwidth of 20 MHz (the same as that of a Rel-17 RedCap UE) but a reduced baseband bandwidth of 5 MHz only for PDSCH and PUSCH through restricting the number of PRBs. Additionally, the UE also implements UE peak rate reduction 10 Mbps through relaxation of the constraint </w:t>
      </w:r>
      <w:r w:rsidRPr="00FD2E09">
        <w:rPr>
          <w:rFonts w:cs="Arial"/>
        </w:rPr>
        <w:t>(</w:t>
      </w:r>
      <w:r w:rsidRPr="00FD2E09">
        <w:rPr>
          <w:rFonts w:cs="Arial"/>
          <w:i/>
          <w:iCs/>
        </w:rPr>
        <w:t>v</w:t>
      </w:r>
      <w:r w:rsidRPr="00FD2E09">
        <w:rPr>
          <w:rFonts w:cs="Arial"/>
          <w:i/>
          <w:iCs/>
          <w:vertAlign w:val="subscript"/>
        </w:rPr>
        <w:t>Layers</w:t>
      </w:r>
      <w:r w:rsidRPr="00FD2E09">
        <w:rPr>
          <w:rFonts w:cs="Arial"/>
        </w:rPr>
        <w:t>·</w:t>
      </w:r>
      <w:r w:rsidRPr="00FD2E09">
        <w:rPr>
          <w:rFonts w:cs="Arial"/>
          <w:i/>
          <w:iCs/>
        </w:rPr>
        <w:t>Q</w:t>
      </w:r>
      <w:r w:rsidRPr="00FD2E09">
        <w:rPr>
          <w:rFonts w:cs="Arial"/>
          <w:i/>
          <w:iCs/>
          <w:vertAlign w:val="subscript"/>
        </w:rPr>
        <w:t>m</w:t>
      </w:r>
      <w:r w:rsidRPr="00FD2E09">
        <w:rPr>
          <w:rFonts w:cs="Arial"/>
        </w:rPr>
        <w:t>·</w:t>
      </w:r>
      <w:r w:rsidRPr="00FD2E09">
        <w:rPr>
          <w:rFonts w:cs="Arial"/>
          <w:i/>
          <w:iCs/>
        </w:rPr>
        <w:t>f</w:t>
      </w:r>
      <w:r w:rsidRPr="00FD2E09">
        <w:rPr>
          <w:rFonts w:cs="Arial"/>
        </w:rPr>
        <w:t xml:space="preserve"> ≥ 4)</w:t>
      </w:r>
      <w:r>
        <w:t>.</w:t>
      </w:r>
    </w:p>
    <w:p w14:paraId="7D88FE6A" w14:textId="77777777" w:rsidR="00CE65CA" w:rsidRDefault="00CE65CA" w:rsidP="00CE65CA">
      <w:pPr>
        <w:rPr>
          <w:b/>
          <w:bCs/>
        </w:rPr>
      </w:pPr>
    </w:p>
    <w:p w14:paraId="7A214157" w14:textId="77777777" w:rsidR="00CE65CA" w:rsidRPr="00CE65CA" w:rsidRDefault="00CE65CA" w:rsidP="00CE65CA">
      <w:r w:rsidRPr="00CE65CA">
        <w:t>However, this capability may need to be considered together with the 1Rx or 2Rx capability. In other words, a UE has one of the following four combinations of capabilities that the network may need to consider for barring.</w:t>
      </w:r>
    </w:p>
    <w:p w14:paraId="68D49B44" w14:textId="2526B778" w:rsidR="00CE65CA" w:rsidRPr="00CE65CA" w:rsidRDefault="00CE65CA" w:rsidP="00CE65CA">
      <w:pPr>
        <w:pStyle w:val="ListParagraph"/>
        <w:numPr>
          <w:ilvl w:val="0"/>
          <w:numId w:val="17"/>
        </w:numPr>
      </w:pPr>
      <w:r w:rsidRPr="00CE65CA">
        <w:t>Rel-18 eRedCap UE with 1Rx and capable of 20 MHz + PR1</w:t>
      </w:r>
    </w:p>
    <w:p w14:paraId="3F5578DD" w14:textId="6C5A8545" w:rsidR="00CE65CA" w:rsidRPr="00CE65CA" w:rsidRDefault="00CE65CA" w:rsidP="00CE65CA">
      <w:pPr>
        <w:pStyle w:val="ListParagraph"/>
        <w:numPr>
          <w:ilvl w:val="0"/>
          <w:numId w:val="17"/>
        </w:numPr>
      </w:pPr>
      <w:r w:rsidRPr="00CE65CA">
        <w:t>Rel-18 eRedCap UE with 2Rx and capable of 20 MHz + PR1</w:t>
      </w:r>
    </w:p>
    <w:p w14:paraId="4D0A851C" w14:textId="2AD57049" w:rsidR="00CE65CA" w:rsidRPr="00CE65CA" w:rsidRDefault="00CE65CA" w:rsidP="00CE65CA">
      <w:pPr>
        <w:pStyle w:val="ListParagraph"/>
        <w:numPr>
          <w:ilvl w:val="0"/>
          <w:numId w:val="17"/>
        </w:numPr>
      </w:pPr>
      <w:r w:rsidRPr="00CE65CA">
        <w:t>Rel-18 eRedCap UE with 1Rx and capable of BW3/PR3 + PR1</w:t>
      </w:r>
    </w:p>
    <w:p w14:paraId="35BC61DD" w14:textId="21145ED0" w:rsidR="00B82F65" w:rsidRDefault="00CE65CA" w:rsidP="00CE65CA">
      <w:pPr>
        <w:pStyle w:val="ListParagraph"/>
        <w:numPr>
          <w:ilvl w:val="0"/>
          <w:numId w:val="17"/>
        </w:numPr>
      </w:pPr>
      <w:r w:rsidRPr="00CE65CA">
        <w:t>Rel-18 eRedCap UE with 2Rx and capable of BW3/PR3 + PR1</w:t>
      </w:r>
    </w:p>
    <w:p w14:paraId="25861F57" w14:textId="42E07B77" w:rsidR="00CA61F3" w:rsidRPr="00CE65CA" w:rsidRDefault="00CA61F3" w:rsidP="00CA61F3">
      <w:r>
        <w:t xml:space="preserve">NW may not support all the above </w:t>
      </w:r>
      <w:r w:rsidR="0011278F">
        <w:t xml:space="preserve">capabilities </w:t>
      </w:r>
      <w:r>
        <w:t xml:space="preserve">and barring mechanism is needed. </w:t>
      </w:r>
    </w:p>
    <w:p w14:paraId="77435E3D" w14:textId="2A628132" w:rsidR="000118E1" w:rsidRDefault="00CA61F3" w:rsidP="009339CB">
      <w:pPr>
        <w:rPr>
          <w:b/>
          <w:bCs/>
        </w:rPr>
      </w:pPr>
      <w:r w:rsidRPr="00CA61F3">
        <w:rPr>
          <w:b/>
          <w:bCs/>
        </w:rPr>
        <w:t xml:space="preserve">Proposal </w:t>
      </w:r>
      <w:r>
        <w:rPr>
          <w:b/>
          <w:bCs/>
        </w:rPr>
        <w:t>1</w:t>
      </w:r>
      <w:r w:rsidRPr="00CA61F3">
        <w:rPr>
          <w:b/>
          <w:bCs/>
        </w:rPr>
        <w:t>: NW can bar</w:t>
      </w:r>
      <w:r w:rsidR="00616887">
        <w:rPr>
          <w:b/>
          <w:bCs/>
        </w:rPr>
        <w:t xml:space="preserve"> or allow</w:t>
      </w:r>
      <w:r w:rsidRPr="00CA61F3">
        <w:rPr>
          <w:b/>
          <w:bCs/>
        </w:rPr>
        <w:t xml:space="preserve"> </w:t>
      </w:r>
      <w:r>
        <w:rPr>
          <w:b/>
          <w:bCs/>
        </w:rPr>
        <w:t>“</w:t>
      </w:r>
      <w:r w:rsidRPr="00CA61F3">
        <w:rPr>
          <w:b/>
          <w:bCs/>
        </w:rPr>
        <w:t>20 MHz + PR1</w:t>
      </w:r>
      <w:r>
        <w:rPr>
          <w:b/>
          <w:bCs/>
        </w:rPr>
        <w:t>”</w:t>
      </w:r>
      <w:r w:rsidRPr="00CA61F3">
        <w:rPr>
          <w:b/>
          <w:bCs/>
        </w:rPr>
        <w:t xml:space="preserve"> eRedCap UE</w:t>
      </w:r>
    </w:p>
    <w:p w14:paraId="24397B30" w14:textId="5839725E" w:rsidR="00CA61F3" w:rsidRDefault="00CA61F3" w:rsidP="00CA61F3">
      <w:pPr>
        <w:rPr>
          <w:b/>
          <w:bCs/>
        </w:rPr>
      </w:pPr>
      <w:r w:rsidRPr="00CA61F3">
        <w:rPr>
          <w:b/>
          <w:bCs/>
        </w:rPr>
        <w:t xml:space="preserve">Proposal </w:t>
      </w:r>
      <w:r>
        <w:rPr>
          <w:b/>
          <w:bCs/>
        </w:rPr>
        <w:t>2</w:t>
      </w:r>
      <w:r w:rsidRPr="00CA61F3">
        <w:rPr>
          <w:b/>
          <w:bCs/>
        </w:rPr>
        <w:t>: NW can bar</w:t>
      </w:r>
      <w:r w:rsidR="00616887">
        <w:rPr>
          <w:b/>
          <w:bCs/>
        </w:rPr>
        <w:t xml:space="preserve"> or allow</w:t>
      </w:r>
      <w:r w:rsidRPr="00CA61F3">
        <w:rPr>
          <w:b/>
          <w:bCs/>
        </w:rPr>
        <w:t xml:space="preserve"> “BW3/PR3 + PR1” eRedCap UE</w:t>
      </w:r>
    </w:p>
    <w:p w14:paraId="60BFAC26" w14:textId="77777777" w:rsidR="00D01623" w:rsidRDefault="00D01623" w:rsidP="00CA61F3">
      <w:pPr>
        <w:rPr>
          <w:b/>
          <w:bCs/>
        </w:rPr>
      </w:pPr>
    </w:p>
    <w:p w14:paraId="23879A5C" w14:textId="77777777" w:rsidR="00CA61F3" w:rsidRPr="00CA61F3" w:rsidRDefault="00CA61F3" w:rsidP="009339CB"/>
    <w:p w14:paraId="69B7B8E6" w14:textId="445C5C44" w:rsidR="009339CB" w:rsidRDefault="005A13AB" w:rsidP="009339CB">
      <w:pPr>
        <w:pStyle w:val="Heading1"/>
      </w:pPr>
      <w:r>
        <w:t>3</w:t>
      </w:r>
      <w:r w:rsidR="009339CB" w:rsidRPr="006E13D1">
        <w:tab/>
      </w:r>
      <w:r w:rsidR="009339CB">
        <w:t>Conclusion</w:t>
      </w:r>
    </w:p>
    <w:p w14:paraId="2DCD5FBF" w14:textId="5CC05B10" w:rsidR="002932F5" w:rsidRPr="002932F5" w:rsidRDefault="002932F5" w:rsidP="000118E1">
      <w:r w:rsidRPr="002932F5">
        <w:t>Based on the discussion following is proposed:</w:t>
      </w:r>
    </w:p>
    <w:p w14:paraId="78744E6C" w14:textId="77777777" w:rsidR="00616887" w:rsidRDefault="00616887" w:rsidP="00616887">
      <w:pPr>
        <w:rPr>
          <w:b/>
          <w:bCs/>
        </w:rPr>
      </w:pPr>
      <w:r w:rsidRPr="00CA61F3">
        <w:rPr>
          <w:b/>
          <w:bCs/>
        </w:rPr>
        <w:t xml:space="preserve">Proposal </w:t>
      </w:r>
      <w:r>
        <w:rPr>
          <w:b/>
          <w:bCs/>
        </w:rPr>
        <w:t>1</w:t>
      </w:r>
      <w:r w:rsidRPr="00CA61F3">
        <w:rPr>
          <w:b/>
          <w:bCs/>
        </w:rPr>
        <w:t>: NW can bar</w:t>
      </w:r>
      <w:r>
        <w:rPr>
          <w:b/>
          <w:bCs/>
        </w:rPr>
        <w:t xml:space="preserve"> or allow</w:t>
      </w:r>
      <w:r w:rsidRPr="00CA61F3">
        <w:rPr>
          <w:b/>
          <w:bCs/>
        </w:rPr>
        <w:t xml:space="preserve"> </w:t>
      </w:r>
      <w:r>
        <w:rPr>
          <w:b/>
          <w:bCs/>
        </w:rPr>
        <w:t>“</w:t>
      </w:r>
      <w:r w:rsidRPr="00CA61F3">
        <w:rPr>
          <w:b/>
          <w:bCs/>
        </w:rPr>
        <w:t>20 MHz + PR1</w:t>
      </w:r>
      <w:r>
        <w:rPr>
          <w:b/>
          <w:bCs/>
        </w:rPr>
        <w:t>”</w:t>
      </w:r>
      <w:r w:rsidRPr="00CA61F3">
        <w:rPr>
          <w:b/>
          <w:bCs/>
        </w:rPr>
        <w:t xml:space="preserve"> eRedCap UE</w:t>
      </w:r>
    </w:p>
    <w:p w14:paraId="20F18CB5" w14:textId="77777777" w:rsidR="00616887" w:rsidRDefault="00616887" w:rsidP="00616887">
      <w:pPr>
        <w:rPr>
          <w:b/>
          <w:bCs/>
        </w:rPr>
      </w:pPr>
      <w:r w:rsidRPr="00CA61F3">
        <w:rPr>
          <w:b/>
          <w:bCs/>
        </w:rPr>
        <w:t xml:space="preserve">Proposal </w:t>
      </w:r>
      <w:r>
        <w:rPr>
          <w:b/>
          <w:bCs/>
        </w:rPr>
        <w:t>2</w:t>
      </w:r>
      <w:r w:rsidRPr="00CA61F3">
        <w:rPr>
          <w:b/>
          <w:bCs/>
        </w:rPr>
        <w:t>: NW can bar</w:t>
      </w:r>
      <w:r>
        <w:rPr>
          <w:b/>
          <w:bCs/>
        </w:rPr>
        <w:t xml:space="preserve"> or allow</w:t>
      </w:r>
      <w:r w:rsidRPr="00CA61F3">
        <w:rPr>
          <w:b/>
          <w:bCs/>
        </w:rPr>
        <w:t xml:space="preserve"> “BW3/PR3 + PR1” eRedCap UE</w:t>
      </w:r>
    </w:p>
    <w:p w14:paraId="264C6636" w14:textId="77777777" w:rsidR="000118E1" w:rsidRPr="000118E1" w:rsidRDefault="000118E1" w:rsidP="000118E1"/>
    <w:sectPr w:rsidR="000118E1" w:rsidRPr="000118E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AF531" w14:textId="77777777" w:rsidR="005427E3" w:rsidRDefault="005427E3">
      <w:r>
        <w:separator/>
      </w:r>
    </w:p>
  </w:endnote>
  <w:endnote w:type="continuationSeparator" w:id="0">
    <w:p w14:paraId="44E7417C" w14:textId="77777777" w:rsidR="005427E3" w:rsidRDefault="005427E3">
      <w:r>
        <w:continuationSeparator/>
      </w:r>
    </w:p>
  </w:endnote>
  <w:endnote w:type="continuationNotice" w:id="1">
    <w:p w14:paraId="74432C36" w14:textId="77777777" w:rsidR="005427E3" w:rsidRDefault="005427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68B98" w14:textId="77777777" w:rsidR="005427E3" w:rsidRDefault="005427E3">
      <w:r>
        <w:separator/>
      </w:r>
    </w:p>
  </w:footnote>
  <w:footnote w:type="continuationSeparator" w:id="0">
    <w:p w14:paraId="61740518" w14:textId="77777777" w:rsidR="005427E3" w:rsidRDefault="005427E3">
      <w:r>
        <w:continuationSeparator/>
      </w:r>
    </w:p>
  </w:footnote>
  <w:footnote w:type="continuationNotice" w:id="1">
    <w:p w14:paraId="47CDB6C0" w14:textId="77777777" w:rsidR="005427E3" w:rsidRDefault="005427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A5ABB"/>
    <w:multiLevelType w:val="hybridMultilevel"/>
    <w:tmpl w:val="4C282DBA"/>
    <w:lvl w:ilvl="0" w:tplc="040B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E862CE0"/>
    <w:multiLevelType w:val="hybridMultilevel"/>
    <w:tmpl w:val="65529BDE"/>
    <w:lvl w:ilvl="0" w:tplc="FCC23BAA">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D81F65"/>
    <w:multiLevelType w:val="hybridMultilevel"/>
    <w:tmpl w:val="1786C0A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F4E71AE"/>
    <w:multiLevelType w:val="hybridMultilevel"/>
    <w:tmpl w:val="F05483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6244F78"/>
    <w:multiLevelType w:val="hybridMultilevel"/>
    <w:tmpl w:val="45682AC4"/>
    <w:lvl w:ilvl="0" w:tplc="E88248C0">
      <w:start w:val="1"/>
      <w:numFmt w:val="bullet"/>
      <w:lvlText w:val="-"/>
      <w:lvlJc w:val="left"/>
      <w:pPr>
        <w:ind w:left="1080" w:hanging="360"/>
      </w:pPr>
      <w:rPr>
        <w:rFonts w:ascii="Times New Roman" w:eastAsia="SimSun"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13"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55249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58478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8819811">
    <w:abstractNumId w:val="1"/>
  </w:num>
  <w:num w:numId="4" w16cid:durableId="1577935157">
    <w:abstractNumId w:val="6"/>
  </w:num>
  <w:num w:numId="5" w16cid:durableId="202257151">
    <w:abstractNumId w:val="4"/>
  </w:num>
  <w:num w:numId="6" w16cid:durableId="226301580">
    <w:abstractNumId w:val="7"/>
  </w:num>
  <w:num w:numId="7" w16cid:durableId="769738797">
    <w:abstractNumId w:val="8"/>
  </w:num>
  <w:num w:numId="8" w16cid:durableId="2031027860">
    <w:abstractNumId w:val="15"/>
  </w:num>
  <w:num w:numId="9" w16cid:durableId="2021662397">
    <w:abstractNumId w:val="13"/>
  </w:num>
  <w:num w:numId="10" w16cid:durableId="1166435422">
    <w:abstractNumId w:val="14"/>
  </w:num>
  <w:num w:numId="11" w16cid:durableId="29300922">
    <w:abstractNumId w:val="11"/>
  </w:num>
  <w:num w:numId="12" w16cid:durableId="2019690879">
    <w:abstractNumId w:val="12"/>
  </w:num>
  <w:num w:numId="13" w16cid:durableId="30375601">
    <w:abstractNumId w:val="9"/>
  </w:num>
  <w:num w:numId="14" w16cid:durableId="1988510446">
    <w:abstractNumId w:val="10"/>
  </w:num>
  <w:num w:numId="15" w16cid:durableId="1529640542">
    <w:abstractNumId w:val="5"/>
  </w:num>
  <w:num w:numId="16" w16cid:durableId="1383208750">
    <w:abstractNumId w:val="3"/>
  </w:num>
  <w:num w:numId="17" w16cid:durableId="19365976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8E1"/>
    <w:rsid w:val="00016557"/>
    <w:rsid w:val="00016CB2"/>
    <w:rsid w:val="00022FE7"/>
    <w:rsid w:val="00023C40"/>
    <w:rsid w:val="00033397"/>
    <w:rsid w:val="00040095"/>
    <w:rsid w:val="000515F0"/>
    <w:rsid w:val="00051F26"/>
    <w:rsid w:val="00061AA7"/>
    <w:rsid w:val="00065268"/>
    <w:rsid w:val="00073C9C"/>
    <w:rsid w:val="00075AA9"/>
    <w:rsid w:val="00076412"/>
    <w:rsid w:val="00080512"/>
    <w:rsid w:val="00090468"/>
    <w:rsid w:val="00094568"/>
    <w:rsid w:val="000B7BCF"/>
    <w:rsid w:val="000C522B"/>
    <w:rsid w:val="000D11E3"/>
    <w:rsid w:val="000D58AB"/>
    <w:rsid w:val="00112350"/>
    <w:rsid w:val="0011278F"/>
    <w:rsid w:val="00112F1A"/>
    <w:rsid w:val="00145075"/>
    <w:rsid w:val="001727D8"/>
    <w:rsid w:val="001741A0"/>
    <w:rsid w:val="00175FA0"/>
    <w:rsid w:val="00194CD0"/>
    <w:rsid w:val="001B49C9"/>
    <w:rsid w:val="001C0BE7"/>
    <w:rsid w:val="001C23F4"/>
    <w:rsid w:val="001C4F79"/>
    <w:rsid w:val="001E18FB"/>
    <w:rsid w:val="001F168B"/>
    <w:rsid w:val="001F7831"/>
    <w:rsid w:val="00204045"/>
    <w:rsid w:val="0020712B"/>
    <w:rsid w:val="0022606D"/>
    <w:rsid w:val="00231728"/>
    <w:rsid w:val="00244A05"/>
    <w:rsid w:val="00250404"/>
    <w:rsid w:val="00256B74"/>
    <w:rsid w:val="002610D8"/>
    <w:rsid w:val="00263B9B"/>
    <w:rsid w:val="002747EC"/>
    <w:rsid w:val="002855BF"/>
    <w:rsid w:val="002932F5"/>
    <w:rsid w:val="002B2988"/>
    <w:rsid w:val="002F0D22"/>
    <w:rsid w:val="0031088E"/>
    <w:rsid w:val="00311B17"/>
    <w:rsid w:val="003172DC"/>
    <w:rsid w:val="00325AE3"/>
    <w:rsid w:val="00326069"/>
    <w:rsid w:val="0035462D"/>
    <w:rsid w:val="0036459E"/>
    <w:rsid w:val="00364B41"/>
    <w:rsid w:val="00383096"/>
    <w:rsid w:val="00391C57"/>
    <w:rsid w:val="0039346C"/>
    <w:rsid w:val="003A41EF"/>
    <w:rsid w:val="003B40AD"/>
    <w:rsid w:val="003C26A9"/>
    <w:rsid w:val="003C4E37"/>
    <w:rsid w:val="003E16BE"/>
    <w:rsid w:val="003F4E28"/>
    <w:rsid w:val="004006E8"/>
    <w:rsid w:val="00401855"/>
    <w:rsid w:val="00415E40"/>
    <w:rsid w:val="00446C3A"/>
    <w:rsid w:val="0046304C"/>
    <w:rsid w:val="00465587"/>
    <w:rsid w:val="00477455"/>
    <w:rsid w:val="004A1F7B"/>
    <w:rsid w:val="004C44D2"/>
    <w:rsid w:val="004D3578"/>
    <w:rsid w:val="004D380D"/>
    <w:rsid w:val="004E213A"/>
    <w:rsid w:val="004F4540"/>
    <w:rsid w:val="004F73A7"/>
    <w:rsid w:val="00503171"/>
    <w:rsid w:val="00506C28"/>
    <w:rsid w:val="00534DA0"/>
    <w:rsid w:val="005427E3"/>
    <w:rsid w:val="00543E6C"/>
    <w:rsid w:val="0054680B"/>
    <w:rsid w:val="00565087"/>
    <w:rsid w:val="0056573F"/>
    <w:rsid w:val="00571279"/>
    <w:rsid w:val="00585DBE"/>
    <w:rsid w:val="005A13AB"/>
    <w:rsid w:val="005A49C6"/>
    <w:rsid w:val="005B26FC"/>
    <w:rsid w:val="005C766E"/>
    <w:rsid w:val="005C7CD5"/>
    <w:rsid w:val="00611566"/>
    <w:rsid w:val="00616887"/>
    <w:rsid w:val="006235CE"/>
    <w:rsid w:val="00646D99"/>
    <w:rsid w:val="00646E5D"/>
    <w:rsid w:val="00656910"/>
    <w:rsid w:val="006574C0"/>
    <w:rsid w:val="00696821"/>
    <w:rsid w:val="006C66D8"/>
    <w:rsid w:val="006D1E24"/>
    <w:rsid w:val="006D35DE"/>
    <w:rsid w:val="006E1057"/>
    <w:rsid w:val="006E1417"/>
    <w:rsid w:val="006F4D31"/>
    <w:rsid w:val="006F6A2C"/>
    <w:rsid w:val="007069DC"/>
    <w:rsid w:val="00710201"/>
    <w:rsid w:val="0072073A"/>
    <w:rsid w:val="00731857"/>
    <w:rsid w:val="007342B5"/>
    <w:rsid w:val="00734A5B"/>
    <w:rsid w:val="00744E76"/>
    <w:rsid w:val="00757D40"/>
    <w:rsid w:val="00763A92"/>
    <w:rsid w:val="007662B5"/>
    <w:rsid w:val="0077317B"/>
    <w:rsid w:val="00781F0F"/>
    <w:rsid w:val="00786AD0"/>
    <w:rsid w:val="0078727C"/>
    <w:rsid w:val="0079049D"/>
    <w:rsid w:val="00793DC5"/>
    <w:rsid w:val="00796823"/>
    <w:rsid w:val="007A2E55"/>
    <w:rsid w:val="007B18D8"/>
    <w:rsid w:val="007C095F"/>
    <w:rsid w:val="007C2DD0"/>
    <w:rsid w:val="007D49B4"/>
    <w:rsid w:val="007F2E08"/>
    <w:rsid w:val="008024FA"/>
    <w:rsid w:val="008028A4"/>
    <w:rsid w:val="00813245"/>
    <w:rsid w:val="00840DE0"/>
    <w:rsid w:val="00847CD0"/>
    <w:rsid w:val="008607A8"/>
    <w:rsid w:val="0086354A"/>
    <w:rsid w:val="008768CA"/>
    <w:rsid w:val="00877EF9"/>
    <w:rsid w:val="00880559"/>
    <w:rsid w:val="008A4279"/>
    <w:rsid w:val="008B5306"/>
    <w:rsid w:val="008B54E8"/>
    <w:rsid w:val="008C2E2A"/>
    <w:rsid w:val="008C3057"/>
    <w:rsid w:val="008C53C9"/>
    <w:rsid w:val="008D2E4D"/>
    <w:rsid w:val="008F396F"/>
    <w:rsid w:val="008F3DCD"/>
    <w:rsid w:val="009014A9"/>
    <w:rsid w:val="0090271F"/>
    <w:rsid w:val="00902DB9"/>
    <w:rsid w:val="0090466A"/>
    <w:rsid w:val="00923655"/>
    <w:rsid w:val="00931315"/>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37F74"/>
    <w:rsid w:val="00A430EC"/>
    <w:rsid w:val="00A53724"/>
    <w:rsid w:val="00A54B2B"/>
    <w:rsid w:val="00A703B6"/>
    <w:rsid w:val="00A82346"/>
    <w:rsid w:val="00A9671C"/>
    <w:rsid w:val="00A96ADE"/>
    <w:rsid w:val="00AA1553"/>
    <w:rsid w:val="00AE58C8"/>
    <w:rsid w:val="00B05380"/>
    <w:rsid w:val="00B05962"/>
    <w:rsid w:val="00B15449"/>
    <w:rsid w:val="00B16C2F"/>
    <w:rsid w:val="00B27303"/>
    <w:rsid w:val="00B321EF"/>
    <w:rsid w:val="00B47FD1"/>
    <w:rsid w:val="00B516BB"/>
    <w:rsid w:val="00B7538C"/>
    <w:rsid w:val="00B82F65"/>
    <w:rsid w:val="00B84DB2"/>
    <w:rsid w:val="00BC3555"/>
    <w:rsid w:val="00BC7574"/>
    <w:rsid w:val="00C12B51"/>
    <w:rsid w:val="00C24650"/>
    <w:rsid w:val="00C25465"/>
    <w:rsid w:val="00C33079"/>
    <w:rsid w:val="00C55A12"/>
    <w:rsid w:val="00C6553E"/>
    <w:rsid w:val="00C83A13"/>
    <w:rsid w:val="00C86F10"/>
    <w:rsid w:val="00C9068C"/>
    <w:rsid w:val="00C92967"/>
    <w:rsid w:val="00CA3D0C"/>
    <w:rsid w:val="00CA61F3"/>
    <w:rsid w:val="00CA654B"/>
    <w:rsid w:val="00CB72B8"/>
    <w:rsid w:val="00CD0BA8"/>
    <w:rsid w:val="00CD4C7B"/>
    <w:rsid w:val="00CD58FE"/>
    <w:rsid w:val="00CE2F44"/>
    <w:rsid w:val="00CE65CA"/>
    <w:rsid w:val="00D01623"/>
    <w:rsid w:val="00D33BE3"/>
    <w:rsid w:val="00D3792D"/>
    <w:rsid w:val="00D54820"/>
    <w:rsid w:val="00D55DCF"/>
    <w:rsid w:val="00D55E47"/>
    <w:rsid w:val="00D62E19"/>
    <w:rsid w:val="00D67CD1"/>
    <w:rsid w:val="00D70205"/>
    <w:rsid w:val="00D738D6"/>
    <w:rsid w:val="00D80795"/>
    <w:rsid w:val="00D854BE"/>
    <w:rsid w:val="00D87E00"/>
    <w:rsid w:val="00D9134D"/>
    <w:rsid w:val="00D96D11"/>
    <w:rsid w:val="00DA7A03"/>
    <w:rsid w:val="00DB0DB8"/>
    <w:rsid w:val="00DB1818"/>
    <w:rsid w:val="00DC2404"/>
    <w:rsid w:val="00DC309B"/>
    <w:rsid w:val="00DC4DA2"/>
    <w:rsid w:val="00DC5261"/>
    <w:rsid w:val="00DE25D2"/>
    <w:rsid w:val="00DF7C20"/>
    <w:rsid w:val="00E02BF1"/>
    <w:rsid w:val="00E038FB"/>
    <w:rsid w:val="00E46C08"/>
    <w:rsid w:val="00E471CF"/>
    <w:rsid w:val="00E62835"/>
    <w:rsid w:val="00E732BE"/>
    <w:rsid w:val="00E77645"/>
    <w:rsid w:val="00E83697"/>
    <w:rsid w:val="00E859B6"/>
    <w:rsid w:val="00EA66C9"/>
    <w:rsid w:val="00EB5D32"/>
    <w:rsid w:val="00EC4A25"/>
    <w:rsid w:val="00EE0CB0"/>
    <w:rsid w:val="00EF612C"/>
    <w:rsid w:val="00F025A2"/>
    <w:rsid w:val="00F036E9"/>
    <w:rsid w:val="00F07388"/>
    <w:rsid w:val="00F2026E"/>
    <w:rsid w:val="00F2210A"/>
    <w:rsid w:val="00F31372"/>
    <w:rsid w:val="00F37743"/>
    <w:rsid w:val="00F52251"/>
    <w:rsid w:val="00F54A3D"/>
    <w:rsid w:val="00F54CB0"/>
    <w:rsid w:val="00F579CD"/>
    <w:rsid w:val="00F60E85"/>
    <w:rsid w:val="00F653B8"/>
    <w:rsid w:val="00F71B89"/>
    <w:rsid w:val="00F7353C"/>
    <w:rsid w:val="00F76F8F"/>
    <w:rsid w:val="00F87257"/>
    <w:rsid w:val="00F941DF"/>
    <w:rsid w:val="00FA1266"/>
    <w:rsid w:val="00FA1A87"/>
    <w:rsid w:val="00FB36FA"/>
    <w:rsid w:val="00FC1192"/>
    <w:rsid w:val="00FE106D"/>
    <w:rsid w:val="00FE251B"/>
    <w:rsid w:val="00FF50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E02BF1"/>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E02BF1"/>
    <w:rPr>
      <w:rFonts w:eastAsia="SimSun"/>
      <w:lang w:eastAsia="en-US"/>
    </w:rPr>
  </w:style>
  <w:style w:type="table" w:styleId="TableGrid">
    <w:name w:val="Table Grid"/>
    <w:basedOn w:val="TableNormal"/>
    <w:uiPriority w:val="59"/>
    <w:rsid w:val="000118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C0BE7"/>
    <w:rPr>
      <w:rFonts w:ascii="Courier New" w:hAnsi="Courier New"/>
      <w:noProof/>
      <w:sz w:val="16"/>
      <w:lang w:eastAsia="en-US"/>
    </w:rPr>
  </w:style>
  <w:style w:type="character" w:customStyle="1" w:styleId="TALCar">
    <w:name w:val="TAL Car"/>
    <w:link w:val="TAL"/>
    <w:qFormat/>
    <w:rsid w:val="001C0BE7"/>
    <w:rPr>
      <w:rFonts w:ascii="Arial" w:hAnsi="Arial"/>
      <w:sz w:val="18"/>
      <w:lang w:eastAsia="en-US"/>
    </w:rPr>
  </w:style>
  <w:style w:type="character" w:customStyle="1" w:styleId="TAHCar">
    <w:name w:val="TAH Car"/>
    <w:link w:val="TAH"/>
    <w:qFormat/>
    <w:locked/>
    <w:rsid w:val="001C0BE7"/>
    <w:rPr>
      <w:rFonts w:ascii="Arial" w:hAnsi="Arial"/>
      <w:b/>
      <w:sz w:val="18"/>
      <w:lang w:eastAsia="en-US"/>
    </w:rPr>
  </w:style>
  <w:style w:type="paragraph" w:styleId="Revision">
    <w:name w:val="Revision"/>
    <w:hidden/>
    <w:uiPriority w:val="99"/>
    <w:semiHidden/>
    <w:rsid w:val="00A96ADE"/>
    <w:rPr>
      <w:lang w:eastAsia="en-US"/>
    </w:rPr>
  </w:style>
  <w:style w:type="paragraph" w:customStyle="1" w:styleId="Agreement">
    <w:name w:val="Agreement"/>
    <w:basedOn w:val="Normal"/>
    <w:next w:val="Normal"/>
    <w:uiPriority w:val="99"/>
    <w:qFormat/>
    <w:rsid w:val="00016CB2"/>
    <w:pPr>
      <w:numPr>
        <w:numId w:val="11"/>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7D49B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7D49B4"/>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7e/Docs/RP-223544.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5AIRPNAIUNRU-859666464-13408</_dlc_DocId>
    <_dlc_DocIdUrl xmlns="71c5aaf6-e6ce-465b-b873-5148d2a4c105">
      <Url>https://nokia.sharepoint.com/sites/c5g/e2earch/_layouts/15/DocIdRedir.aspx?ID=5AIRPNAIUNRU-859666464-13408</Url>
      <Description>5AIRPNAIUNRU-859666464-13408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71c5aaf6-e6ce-465b-b873-5148d2a4c105"/>
    <ds:schemaRef ds:uri="http://purl.org/dc/terms/"/>
    <ds:schemaRef ds:uri="http://purl.org/dc/dcmitype/"/>
    <ds:schemaRef ds:uri="http://www.w3.org/XML/1998/namespace"/>
    <ds:schemaRef ds:uri="83f22d2f-d16e-4be6-ad4f-29fa0b067c3c"/>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a3840f4f-04be-43d1-b2ef-6ff1382503c7"/>
    <ds:schemaRef ds:uri="3b34c8f0-1ef5-4d1e-bb66-517ce7fe7356"/>
    <ds:schemaRef ds:uri="http://purl.org/dc/elements/1.1/"/>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3</Pages>
  <Words>590</Words>
  <Characters>4787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5367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Jussi</cp:lastModifiedBy>
  <cp:revision>32</cp:revision>
  <dcterms:created xsi:type="dcterms:W3CDTF">2023-02-16T13:38:00Z</dcterms:created>
  <dcterms:modified xsi:type="dcterms:W3CDTF">2023-08-09T13:40:00Z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a1896da3-c1c9-4e12-8589-7643d15e581f</vt:lpwstr>
  </property>
</Properties>
</file>